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07B" w:rsidRPr="00896F6D" w:rsidRDefault="00B81C0B" w:rsidP="0061493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>
        <w:rPr>
          <w:rFonts w:cstheme="minorHAnsi"/>
          <w:b/>
          <w:sz w:val="24"/>
          <w:szCs w:val="24"/>
        </w:rPr>
        <w:t>Anexa</w:t>
      </w:r>
      <w:proofErr w:type="spellEnd"/>
      <w:r>
        <w:rPr>
          <w:rFonts w:cstheme="minorHAnsi"/>
          <w:b/>
          <w:sz w:val="24"/>
          <w:szCs w:val="24"/>
        </w:rPr>
        <w:t xml:space="preserve"> nr.1</w:t>
      </w:r>
      <w:r w:rsidR="0061493A" w:rsidRPr="0061493A">
        <w:rPr>
          <w:rFonts w:cstheme="minorHAnsi"/>
          <w:b/>
          <w:sz w:val="24"/>
          <w:szCs w:val="24"/>
        </w:rPr>
        <w:br/>
        <w:t xml:space="preserve">la </w:t>
      </w:r>
      <w:proofErr w:type="spellStart"/>
      <w:r w:rsidR="0061493A" w:rsidRPr="0061493A">
        <w:rPr>
          <w:rFonts w:cstheme="minorHAnsi"/>
          <w:b/>
          <w:sz w:val="24"/>
          <w:szCs w:val="24"/>
        </w:rPr>
        <w:t>Decizia</w:t>
      </w:r>
      <w:proofErr w:type="spellEnd"/>
      <w:r w:rsidR="0061493A"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="0061493A" w:rsidRPr="0061493A">
        <w:rPr>
          <w:rFonts w:cstheme="minorHAnsi"/>
          <w:b/>
          <w:sz w:val="24"/>
          <w:szCs w:val="24"/>
        </w:rPr>
        <w:t>Consiliului</w:t>
      </w:r>
      <w:proofErr w:type="spellEnd"/>
      <w:r w:rsidR="0061493A" w:rsidRPr="0061493A">
        <w:rPr>
          <w:rFonts w:cstheme="minorHAnsi"/>
          <w:b/>
          <w:sz w:val="24"/>
          <w:szCs w:val="24"/>
        </w:rPr>
        <w:t xml:space="preserve"> Local al</w:t>
      </w:r>
      <w:r w:rsidR="0061493A" w:rsidRPr="0061493A">
        <w:rPr>
          <w:rFonts w:cstheme="minorHAnsi"/>
          <w:b/>
          <w:sz w:val="24"/>
          <w:szCs w:val="24"/>
        </w:rPr>
        <w:br/>
      </w:r>
      <w:proofErr w:type="spellStart"/>
      <w:r w:rsidR="0061493A" w:rsidRPr="0061493A">
        <w:rPr>
          <w:rFonts w:cstheme="minorHAnsi"/>
          <w:b/>
          <w:sz w:val="24"/>
          <w:szCs w:val="24"/>
        </w:rPr>
        <w:t>Satului</w:t>
      </w:r>
      <w:proofErr w:type="spellEnd"/>
      <w:r w:rsidR="0061493A"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="0061493A" w:rsidRPr="0061493A">
        <w:rPr>
          <w:rFonts w:cstheme="minorHAnsi"/>
          <w:b/>
          <w:sz w:val="24"/>
          <w:szCs w:val="24"/>
        </w:rPr>
        <w:t>Costești</w:t>
      </w:r>
      <w:proofErr w:type="spellEnd"/>
      <w:r w:rsidR="0061493A" w:rsidRPr="0061493A">
        <w:rPr>
          <w:rFonts w:cstheme="minorHAnsi"/>
          <w:b/>
          <w:sz w:val="24"/>
          <w:szCs w:val="24"/>
        </w:rPr>
        <w:br/>
        <w:t>nr.</w:t>
      </w:r>
      <w:proofErr w:type="gramEnd"/>
      <w:r w:rsidR="0061493A" w:rsidRPr="0061493A">
        <w:rPr>
          <w:rFonts w:cstheme="minorHAnsi"/>
          <w:b/>
          <w:sz w:val="24"/>
          <w:szCs w:val="24"/>
          <w:u w:val="single"/>
        </w:rPr>
        <w:t xml:space="preserve">     02-23     </w:t>
      </w:r>
      <w:r w:rsidR="0061493A" w:rsidRPr="0061493A">
        <w:rPr>
          <w:rFonts w:cstheme="minorHAnsi"/>
          <w:b/>
          <w:sz w:val="24"/>
          <w:szCs w:val="24"/>
        </w:rPr>
        <w:t xml:space="preserve"> </w:t>
      </w:r>
      <w:proofErr w:type="gramStart"/>
      <w:r w:rsidR="0061493A" w:rsidRPr="0061493A">
        <w:rPr>
          <w:rFonts w:cstheme="minorHAnsi"/>
          <w:b/>
          <w:sz w:val="24"/>
          <w:szCs w:val="24"/>
        </w:rPr>
        <w:t xml:space="preserve">din </w:t>
      </w:r>
      <w:r w:rsidR="0061493A" w:rsidRPr="0061493A">
        <w:rPr>
          <w:rFonts w:cstheme="minorHAnsi"/>
          <w:b/>
          <w:sz w:val="24"/>
          <w:szCs w:val="24"/>
          <w:u w:val="single"/>
        </w:rPr>
        <w:t xml:space="preserve"> 3</w:t>
      </w:r>
      <w:proofErr w:type="gramEnd"/>
      <w:r w:rsidR="0061493A" w:rsidRPr="0061493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="0061493A" w:rsidRPr="0061493A">
        <w:rPr>
          <w:rFonts w:cstheme="minorHAnsi"/>
          <w:b/>
          <w:sz w:val="24"/>
          <w:szCs w:val="24"/>
          <w:u w:val="single"/>
        </w:rPr>
        <w:t>martie</w:t>
      </w:r>
      <w:proofErr w:type="spellEnd"/>
      <w:r w:rsidR="0061493A" w:rsidRPr="0061493A">
        <w:rPr>
          <w:rFonts w:cstheme="minorHAnsi"/>
          <w:b/>
          <w:sz w:val="24"/>
          <w:szCs w:val="24"/>
          <w:u w:val="single"/>
        </w:rPr>
        <w:t xml:space="preserve">  </w:t>
      </w:r>
      <w:r w:rsidR="0061493A" w:rsidRPr="0061493A">
        <w:rPr>
          <w:rFonts w:cstheme="minorHAnsi"/>
          <w:b/>
          <w:sz w:val="24"/>
          <w:szCs w:val="24"/>
        </w:rPr>
        <w:t xml:space="preserve">  2016</w:t>
      </w:r>
      <w:r w:rsidR="0061493A" w:rsidRPr="0061493A">
        <w:rPr>
          <w:rFonts w:cstheme="minorHAnsi"/>
          <w:sz w:val="24"/>
          <w:szCs w:val="24"/>
        </w:rPr>
        <w:br/>
      </w:r>
      <w:r w:rsidR="005617C6" w:rsidRPr="00896F6D">
        <w:rPr>
          <w:rFonts w:ascii="Times New Roman" w:hAnsi="Times New Roman" w:cs="Times New Roman"/>
          <w:sz w:val="24"/>
          <w:szCs w:val="24"/>
        </w:rPr>
        <w:br/>
      </w:r>
    </w:p>
    <w:p w:rsidR="005617C6" w:rsidRPr="00404602" w:rsidRDefault="005617C6" w:rsidP="00E42D5B">
      <w:pPr>
        <w:jc w:val="center"/>
        <w:rPr>
          <w:rFonts w:ascii="Times New Roman" w:hAnsi="Times New Roman" w:cs="Times New Roman"/>
          <w:sz w:val="32"/>
          <w:szCs w:val="32"/>
        </w:rPr>
      </w:pPr>
      <w:r w:rsidRPr="00E42D5B">
        <w:rPr>
          <w:rFonts w:ascii="Times New Roman" w:hAnsi="Times New Roman" w:cs="Times New Roman"/>
          <w:b/>
          <w:sz w:val="32"/>
          <w:szCs w:val="32"/>
        </w:rPr>
        <w:t>REGULAMENTUL</w:t>
      </w:r>
      <w:r w:rsidRPr="00404602">
        <w:rPr>
          <w:rFonts w:ascii="Times New Roman" w:hAnsi="Times New Roman" w:cs="Times New Roman"/>
          <w:sz w:val="32"/>
          <w:szCs w:val="32"/>
          <w:u w:val="single"/>
        </w:rPr>
        <w:br/>
      </w:r>
      <w:proofErr w:type="spellStart"/>
      <w:r w:rsidRPr="00404602">
        <w:rPr>
          <w:rFonts w:ascii="Times New Roman" w:hAnsi="Times New Roman" w:cs="Times New Roman"/>
          <w:sz w:val="32"/>
          <w:szCs w:val="32"/>
        </w:rPr>
        <w:t>Concursului</w:t>
      </w:r>
      <w:proofErr w:type="spellEnd"/>
      <w:r w:rsidRPr="00404602">
        <w:rPr>
          <w:rFonts w:ascii="Times New Roman" w:hAnsi="Times New Roman" w:cs="Times New Roman"/>
          <w:sz w:val="32"/>
          <w:szCs w:val="32"/>
        </w:rPr>
        <w:t xml:space="preserve"> Local </w:t>
      </w:r>
      <w:r w:rsidRPr="00404602">
        <w:rPr>
          <w:rFonts w:ascii="Times New Roman" w:hAnsi="Times New Roman" w:cs="Times New Roman"/>
          <w:sz w:val="32"/>
          <w:szCs w:val="32"/>
          <w:lang w:val="ro-RO"/>
        </w:rPr>
        <w:t>„Cea mai salubră și cea mai amenajată localitate</w:t>
      </w:r>
      <w:r w:rsidRPr="00404602">
        <w:rPr>
          <w:rFonts w:ascii="Times New Roman" w:hAnsi="Times New Roman" w:cs="Times New Roman"/>
          <w:sz w:val="32"/>
          <w:szCs w:val="32"/>
        </w:rPr>
        <w:t>”</w:t>
      </w:r>
    </w:p>
    <w:p w:rsidR="005617C6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Regulament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modul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organizare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condițiile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prezentare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materialelor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criteriilor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evaluare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regiunilor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participante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la Concurs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deasemenia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96F6D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învingătoriilor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B73093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scop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dezvoltarea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tradițiilor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naționale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81C0B">
        <w:rPr>
          <w:rFonts w:ascii="Times New Roman" w:hAnsi="Times New Roman" w:cs="Times New Roman"/>
          <w:sz w:val="24"/>
          <w:szCs w:val="24"/>
        </w:rPr>
        <w:t>a</w:t>
      </w:r>
      <w:r w:rsidRPr="00896F6D">
        <w:rPr>
          <w:rFonts w:ascii="Times New Roman" w:hAnsi="Times New Roman" w:cs="Times New Roman"/>
          <w:sz w:val="24"/>
          <w:szCs w:val="24"/>
        </w:rPr>
        <w:t>menajare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întreținere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exemplară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localității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susținerea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practice de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protecție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promovarea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tendințelor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actuale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59770C">
        <w:rPr>
          <w:rFonts w:ascii="Times New Roman" w:hAnsi="Times New Roman" w:cs="Times New Roman"/>
          <w:sz w:val="24"/>
          <w:szCs w:val="24"/>
        </w:rPr>
        <w:t>modernizare</w:t>
      </w:r>
      <w:proofErr w:type="spellEnd"/>
      <w:r w:rsidR="0059770C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59770C">
        <w:rPr>
          <w:rFonts w:ascii="Times New Roman" w:hAnsi="Times New Roman" w:cs="Times New Roman"/>
          <w:sz w:val="24"/>
          <w:szCs w:val="24"/>
        </w:rPr>
        <w:t>satelor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B73093" w:rsidRPr="00896F6D" w:rsidRDefault="00B73093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Comisiile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sătești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largă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colectivelor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întreprindelor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instituțiilor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populației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la concurs,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precum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pregătirea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loc</w:t>
      </w:r>
      <w:r w:rsidR="0061493A">
        <w:rPr>
          <w:rFonts w:ascii="Times New Roman" w:hAnsi="Times New Roman" w:cs="Times New Roman"/>
          <w:sz w:val="24"/>
          <w:szCs w:val="24"/>
        </w:rPr>
        <w:t>alitățiilor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concurs,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6149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493A">
        <w:rPr>
          <w:rFonts w:ascii="Times New Roman" w:hAnsi="Times New Roman" w:cs="Times New Roman"/>
          <w:sz w:val="24"/>
          <w:szCs w:val="24"/>
        </w:rPr>
        <w:t>promova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larg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presa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scrisă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electronică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aferente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>.</w:t>
      </w:r>
    </w:p>
    <w:p w:rsidR="00896F6D" w:rsidRPr="00896F6D" w:rsidRDefault="00896F6D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Categoriile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concurs</w:t>
      </w:r>
      <w:r w:rsidRPr="00896F6D">
        <w:rPr>
          <w:rFonts w:ascii="Times New Roman" w:hAnsi="Times New Roman" w:cs="Times New Roman"/>
          <w:sz w:val="24"/>
          <w:szCs w:val="24"/>
        </w:rPr>
        <w:br/>
      </w:r>
      <w:r w:rsidRPr="00896F6D">
        <w:rPr>
          <w:rFonts w:ascii="Times New Roman" w:hAnsi="Times New Roman" w:cs="Times New Roman"/>
          <w:i/>
          <w:sz w:val="24"/>
          <w:szCs w:val="24"/>
        </w:rPr>
        <w:t>-</w:t>
      </w:r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amenajată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gospodărie</w:t>
      </w:r>
      <w:proofErr w:type="spellEnd"/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 w:rsidRPr="00896F6D">
        <w:rPr>
          <w:rFonts w:ascii="Times New Roman" w:hAnsi="Times New Roman" w:cs="Times New Roman"/>
          <w:i/>
          <w:sz w:val="24"/>
          <w:szCs w:val="24"/>
        </w:rPr>
        <w:t>-</w:t>
      </w:r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cel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amenajat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agent economic</w:t>
      </w:r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br/>
        <w:t xml:space="preserve">-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cea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salubră</w:t>
      </w:r>
      <w:proofErr w:type="spellEnd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i/>
          <w:color w:val="000000"/>
          <w:sz w:val="24"/>
          <w:szCs w:val="24"/>
        </w:rPr>
        <w:t>stradă</w:t>
      </w:r>
      <w:proofErr w:type="spellEnd"/>
      <w:r w:rsidR="0061493A">
        <w:rPr>
          <w:rFonts w:ascii="Times New Roman" w:hAnsi="Times New Roman" w:cs="Times New Roman"/>
          <w:i/>
          <w:color w:val="000000"/>
          <w:sz w:val="24"/>
          <w:szCs w:val="24"/>
        </w:rPr>
        <w:t>;</w:t>
      </w:r>
    </w:p>
    <w:p w:rsidR="00705CAC" w:rsidRPr="00896F6D" w:rsidRDefault="00705CAC" w:rsidP="00896F6D">
      <w:pPr>
        <w:pStyle w:val="Listparagraf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Concursul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896F6D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martie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2015 – 28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aprilie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2016.</w:t>
      </w:r>
    </w:p>
    <w:p w:rsidR="00896F6D" w:rsidRPr="00896F6D" w:rsidRDefault="00705CAC" w:rsidP="00896F6D">
      <w:pPr>
        <w:pStyle w:val="Listparagraf"/>
        <w:numPr>
          <w:ilvl w:val="0"/>
          <w:numId w:val="7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sz w:val="24"/>
          <w:szCs w:val="24"/>
        </w:rPr>
        <w:t>Mărimea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premiilor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bănești</w:t>
      </w:r>
      <w:proofErr w:type="spellEnd"/>
      <w:r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sz w:val="24"/>
          <w:szCs w:val="24"/>
        </w:rPr>
        <w:t>p</w:t>
      </w:r>
      <w:r w:rsidR="00896F6D" w:rsidRPr="00896F6D">
        <w:rPr>
          <w:rFonts w:ascii="Times New Roman" w:hAnsi="Times New Roman" w:cs="Times New Roman"/>
          <w:sz w:val="24"/>
          <w:szCs w:val="24"/>
        </w:rPr>
        <w:t>entru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învingătorii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Concursului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L</w:t>
      </w:r>
      <w:r w:rsidRPr="00896F6D">
        <w:rPr>
          <w:rFonts w:ascii="Times New Roman" w:hAnsi="Times New Roman" w:cs="Times New Roman"/>
          <w:sz w:val="24"/>
          <w:szCs w:val="24"/>
        </w:rPr>
        <w:t>ocal</w:t>
      </w:r>
      <w:r w:rsidR="00896F6D" w:rsidRPr="00896F6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stabilește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după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896F6D" w:rsidRPr="00896F6D">
        <w:rPr>
          <w:rFonts w:ascii="Times New Roman" w:hAnsi="Times New Roman" w:cs="Times New Roman"/>
          <w:sz w:val="24"/>
          <w:szCs w:val="24"/>
        </w:rPr>
        <w:t>urmează</w:t>
      </w:r>
      <w:proofErr w:type="spellEnd"/>
      <w:r w:rsidR="00896F6D" w:rsidRPr="00896F6D">
        <w:rPr>
          <w:rFonts w:ascii="Times New Roman" w:hAnsi="Times New Roman" w:cs="Times New Roman"/>
          <w:sz w:val="24"/>
          <w:szCs w:val="24"/>
        </w:rPr>
        <w:t>:</w:t>
      </w:r>
      <w:r w:rsidR="00896F6D" w:rsidRPr="00896F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amenajată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gospodărie</w:t>
      </w:r>
      <w:proofErr w:type="spellEnd"/>
      <w:r w:rsidR="00896F6D" w:rsidRPr="00896F6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896F6D" w:rsidRP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   — 1000 lei</w:t>
      </w:r>
    </w:p>
    <w:p w:rsidR="00896F6D" w:rsidRP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700lei</w:t>
      </w:r>
    </w:p>
    <w:p w:rsidR="00896F6D" w:rsidRDefault="00896F6D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500 lei</w:t>
      </w:r>
    </w:p>
    <w:p w:rsidR="0061493A" w:rsidRPr="00896F6D" w:rsidRDefault="0061493A" w:rsidP="00896F6D">
      <w:pPr>
        <w:pStyle w:val="Listparagraf"/>
        <w:numPr>
          <w:ilvl w:val="0"/>
          <w:numId w:val="4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F6D" w:rsidRPr="00896F6D" w:rsidRDefault="00896F6D" w:rsidP="00896F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cel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amenajat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agent economic</w:t>
      </w:r>
    </w:p>
    <w:p w:rsidR="00896F6D" w:rsidRP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   — 3000 lei</w:t>
      </w:r>
    </w:p>
    <w:p w:rsidR="00896F6D" w:rsidRP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2000lei</w:t>
      </w:r>
    </w:p>
    <w:p w:rsidR="00896F6D" w:rsidRDefault="00896F6D" w:rsidP="00896F6D">
      <w:pPr>
        <w:pStyle w:val="Listparagraf"/>
        <w:numPr>
          <w:ilvl w:val="0"/>
          <w:numId w:val="6"/>
        </w:num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1000 lei</w:t>
      </w:r>
    </w:p>
    <w:p w:rsidR="0061493A" w:rsidRPr="00896F6D" w:rsidRDefault="0061493A" w:rsidP="0061493A">
      <w:pPr>
        <w:pStyle w:val="Listparagraf"/>
        <w:tabs>
          <w:tab w:val="left" w:pos="3720"/>
        </w:tabs>
        <w:spacing w:after="0" w:line="240" w:lineRule="auto"/>
        <w:ind w:left="14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96F6D" w:rsidRPr="00896F6D" w:rsidRDefault="00896F6D" w:rsidP="00896F6D">
      <w:pPr>
        <w:tabs>
          <w:tab w:val="left" w:pos="372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Pentru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cea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mai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salubră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stradă</w:t>
      </w:r>
      <w:proofErr w:type="spellEnd"/>
    </w:p>
    <w:p w:rsidR="00896F6D" w:rsidRPr="0061493A" w:rsidRDefault="00896F6D" w:rsidP="0061493A">
      <w:pPr>
        <w:pStyle w:val="Listparagraf"/>
        <w:numPr>
          <w:ilvl w:val="0"/>
          <w:numId w:val="13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493A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61493A">
        <w:rPr>
          <w:rFonts w:ascii="Times New Roman" w:hAnsi="Times New Roman" w:cs="Times New Roman"/>
          <w:color w:val="000000"/>
          <w:sz w:val="24"/>
          <w:szCs w:val="24"/>
        </w:rPr>
        <w:t xml:space="preserve"> I   — 3000 lei</w:t>
      </w:r>
    </w:p>
    <w:p w:rsidR="00896F6D" w:rsidRPr="00896F6D" w:rsidRDefault="00896F6D" w:rsidP="0061493A">
      <w:pPr>
        <w:pStyle w:val="Listparagraf"/>
        <w:numPr>
          <w:ilvl w:val="0"/>
          <w:numId w:val="9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  —  2000lei</w:t>
      </w:r>
    </w:p>
    <w:p w:rsidR="00896F6D" w:rsidRPr="00896F6D" w:rsidRDefault="00896F6D" w:rsidP="0061493A">
      <w:pPr>
        <w:pStyle w:val="Listparagraf"/>
        <w:numPr>
          <w:ilvl w:val="0"/>
          <w:numId w:val="9"/>
        </w:numPr>
        <w:tabs>
          <w:tab w:val="left" w:pos="3720"/>
        </w:tabs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96F6D">
        <w:rPr>
          <w:rFonts w:ascii="Times New Roman" w:hAnsi="Times New Roman" w:cs="Times New Roman"/>
          <w:color w:val="000000"/>
          <w:sz w:val="24"/>
          <w:szCs w:val="24"/>
        </w:rPr>
        <w:t>Locul</w:t>
      </w:r>
      <w:proofErr w:type="spellEnd"/>
      <w:r w:rsidRPr="00896F6D">
        <w:rPr>
          <w:rFonts w:ascii="Times New Roman" w:hAnsi="Times New Roman" w:cs="Times New Roman"/>
          <w:color w:val="000000"/>
          <w:sz w:val="24"/>
          <w:szCs w:val="24"/>
        </w:rPr>
        <w:t xml:space="preserve"> III — 1000 lei</w:t>
      </w:r>
    </w:p>
    <w:p w:rsidR="00705CAC" w:rsidRDefault="00705CAC" w:rsidP="00705CAC"/>
    <w:p w:rsidR="005617C6" w:rsidRPr="0061493A" w:rsidRDefault="00E42D5B" w:rsidP="005617C6">
      <w:pPr>
        <w:rPr>
          <w:rFonts w:cstheme="minorHAnsi"/>
          <w:b/>
          <w:sz w:val="24"/>
          <w:szCs w:val="24"/>
        </w:rPr>
      </w:pPr>
      <w:proofErr w:type="spellStart"/>
      <w:proofErr w:type="gramStart"/>
      <w:r w:rsidRPr="0061493A">
        <w:rPr>
          <w:rFonts w:cstheme="minorHAnsi"/>
          <w:b/>
          <w:sz w:val="24"/>
          <w:szCs w:val="24"/>
        </w:rPr>
        <w:lastRenderedPageBreak/>
        <w:t>Anexa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nr.2</w:t>
      </w:r>
      <w:r w:rsidRPr="0061493A">
        <w:rPr>
          <w:rFonts w:cstheme="minorHAnsi"/>
          <w:b/>
          <w:sz w:val="24"/>
          <w:szCs w:val="24"/>
        </w:rPr>
        <w:br/>
        <w:t xml:space="preserve">la </w:t>
      </w:r>
      <w:proofErr w:type="spellStart"/>
      <w:r w:rsidRPr="0061493A">
        <w:rPr>
          <w:rFonts w:cstheme="minorHAnsi"/>
          <w:b/>
          <w:sz w:val="24"/>
          <w:szCs w:val="24"/>
        </w:rPr>
        <w:t>Decizia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Consiliului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Local al</w:t>
      </w:r>
      <w:r w:rsidRPr="0061493A">
        <w:rPr>
          <w:rFonts w:cstheme="minorHAnsi"/>
          <w:b/>
          <w:sz w:val="24"/>
          <w:szCs w:val="24"/>
        </w:rPr>
        <w:br/>
      </w:r>
      <w:proofErr w:type="spellStart"/>
      <w:r w:rsidRPr="0061493A">
        <w:rPr>
          <w:rFonts w:cstheme="minorHAnsi"/>
          <w:b/>
          <w:sz w:val="24"/>
          <w:szCs w:val="24"/>
        </w:rPr>
        <w:t>Satului</w:t>
      </w:r>
      <w:proofErr w:type="spellEnd"/>
      <w:r w:rsidRPr="0061493A">
        <w:rPr>
          <w:rFonts w:cstheme="minorHAnsi"/>
          <w:b/>
          <w:sz w:val="24"/>
          <w:szCs w:val="24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</w:rPr>
        <w:t>Costești</w:t>
      </w:r>
      <w:proofErr w:type="spellEnd"/>
      <w:r w:rsidRPr="0061493A">
        <w:rPr>
          <w:rFonts w:cstheme="minorHAnsi"/>
          <w:b/>
          <w:sz w:val="24"/>
          <w:szCs w:val="24"/>
        </w:rPr>
        <w:br/>
        <w:t>nr.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    02-23     </w:t>
      </w:r>
      <w:r w:rsidRPr="0061493A">
        <w:rPr>
          <w:rFonts w:cstheme="minorHAnsi"/>
          <w:b/>
          <w:sz w:val="24"/>
          <w:szCs w:val="24"/>
        </w:rPr>
        <w:t xml:space="preserve"> </w:t>
      </w:r>
      <w:proofErr w:type="gramStart"/>
      <w:r w:rsidRPr="0061493A">
        <w:rPr>
          <w:rFonts w:cstheme="minorHAnsi"/>
          <w:b/>
          <w:sz w:val="24"/>
          <w:szCs w:val="24"/>
        </w:rPr>
        <w:t xml:space="preserve">din </w:t>
      </w:r>
      <w:r w:rsidRPr="0061493A">
        <w:rPr>
          <w:rFonts w:cstheme="minorHAnsi"/>
          <w:b/>
          <w:sz w:val="24"/>
          <w:szCs w:val="24"/>
          <w:u w:val="single"/>
        </w:rPr>
        <w:t xml:space="preserve"> 3</w:t>
      </w:r>
      <w:proofErr w:type="gramEnd"/>
      <w:r w:rsidRPr="0061493A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61493A">
        <w:rPr>
          <w:rFonts w:cstheme="minorHAnsi"/>
          <w:b/>
          <w:sz w:val="24"/>
          <w:szCs w:val="24"/>
          <w:u w:val="single"/>
        </w:rPr>
        <w:t>martie</w:t>
      </w:r>
      <w:proofErr w:type="spellEnd"/>
      <w:r w:rsidRPr="0061493A">
        <w:rPr>
          <w:rFonts w:cstheme="minorHAnsi"/>
          <w:b/>
          <w:sz w:val="24"/>
          <w:szCs w:val="24"/>
          <w:u w:val="single"/>
        </w:rPr>
        <w:t xml:space="preserve">  </w:t>
      </w:r>
      <w:r w:rsidRPr="0061493A">
        <w:rPr>
          <w:rFonts w:cstheme="minorHAnsi"/>
          <w:b/>
          <w:sz w:val="24"/>
          <w:szCs w:val="24"/>
        </w:rPr>
        <w:t xml:space="preserve">  2016</w:t>
      </w:r>
      <w:r w:rsidRPr="0061493A">
        <w:rPr>
          <w:rFonts w:cstheme="minorHAnsi"/>
          <w:sz w:val="24"/>
          <w:szCs w:val="24"/>
        </w:rPr>
        <w:br/>
      </w:r>
    </w:p>
    <w:p w:rsidR="007A6FE2" w:rsidRPr="0061493A" w:rsidRDefault="007A6FE2" w:rsidP="0061493A">
      <w:pPr>
        <w:jc w:val="center"/>
        <w:rPr>
          <w:rFonts w:ascii="Times New Roman" w:hAnsi="Times New Roman" w:cs="Times New Roman"/>
          <w:sz w:val="28"/>
          <w:szCs w:val="28"/>
        </w:rPr>
      </w:pPr>
      <w:r w:rsidRPr="0061493A">
        <w:rPr>
          <w:rFonts w:ascii="Times New Roman" w:hAnsi="Times New Roman" w:cs="Times New Roman"/>
          <w:sz w:val="28"/>
          <w:szCs w:val="28"/>
        </w:rPr>
        <w:t xml:space="preserve">CRITERIIILE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IND</w:t>
      </w:r>
      <w:r w:rsidR="00BC16F8">
        <w:rPr>
          <w:rFonts w:ascii="Times New Roman" w:hAnsi="Times New Roman" w:cs="Times New Roman"/>
          <w:sz w:val="28"/>
          <w:szCs w:val="28"/>
        </w:rPr>
        <w:t>ICII</w:t>
      </w:r>
      <w:r w:rsidR="00BC16F8">
        <w:rPr>
          <w:rFonts w:ascii="Times New Roman" w:hAnsi="Times New Roman" w:cs="Times New Roman"/>
          <w:sz w:val="28"/>
          <w:szCs w:val="28"/>
        </w:rPr>
        <w:br/>
        <w:t xml:space="preserve">de </w:t>
      </w:r>
      <w:proofErr w:type="spellStart"/>
      <w:r w:rsidR="00BC16F8">
        <w:rPr>
          <w:rFonts w:ascii="Times New Roman" w:hAnsi="Times New Roman" w:cs="Times New Roman"/>
          <w:sz w:val="28"/>
          <w:szCs w:val="28"/>
        </w:rPr>
        <w:t>evaluare</w:t>
      </w:r>
      <w:proofErr w:type="spellEnd"/>
      <w:r w:rsidR="00BC16F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C16F8">
        <w:rPr>
          <w:rFonts w:ascii="Times New Roman" w:hAnsi="Times New Roman" w:cs="Times New Roman"/>
          <w:sz w:val="28"/>
          <w:szCs w:val="28"/>
        </w:rPr>
        <w:t>participantului</w:t>
      </w:r>
      <w:proofErr w:type="spellEnd"/>
      <w:r w:rsidR="00BC16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BC16F8">
        <w:rPr>
          <w:rFonts w:ascii="Times New Roman" w:hAnsi="Times New Roman" w:cs="Times New Roman"/>
          <w:sz w:val="28"/>
          <w:szCs w:val="28"/>
        </w:rPr>
        <w:t>participanților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493A">
        <w:rPr>
          <w:rFonts w:ascii="Times New Roman" w:hAnsi="Times New Roman" w:cs="Times New Roman"/>
          <w:sz w:val="28"/>
          <w:szCs w:val="28"/>
        </w:rPr>
        <w:t>Concursul</w:t>
      </w:r>
      <w:proofErr w:type="spellEnd"/>
      <w:r w:rsidRPr="0061493A">
        <w:rPr>
          <w:rFonts w:ascii="Times New Roman" w:hAnsi="Times New Roman" w:cs="Times New Roman"/>
          <w:sz w:val="28"/>
          <w:szCs w:val="28"/>
        </w:rPr>
        <w:t xml:space="preserve"> Local </w:t>
      </w:r>
      <w:r w:rsidRPr="0061493A">
        <w:rPr>
          <w:rFonts w:ascii="Times New Roman" w:hAnsi="Times New Roman" w:cs="Times New Roman"/>
          <w:sz w:val="28"/>
          <w:szCs w:val="28"/>
          <w:lang w:val="ro-RO"/>
        </w:rPr>
        <w:t>„Cea mai salubră și cea mai amenajată localitate</w:t>
      </w:r>
      <w:r w:rsidRPr="0061493A">
        <w:rPr>
          <w:rFonts w:ascii="Times New Roman" w:hAnsi="Times New Roman" w:cs="Times New Roman"/>
          <w:sz w:val="28"/>
          <w:szCs w:val="28"/>
        </w:rPr>
        <w:t>”</w:t>
      </w:r>
    </w:p>
    <w:tbl>
      <w:tblPr>
        <w:tblStyle w:val="GrilTabel"/>
        <w:tblW w:w="0" w:type="auto"/>
        <w:tblLook w:val="04A0"/>
      </w:tblPr>
      <w:tblGrid>
        <w:gridCol w:w="738"/>
        <w:gridCol w:w="5646"/>
        <w:gridCol w:w="3192"/>
      </w:tblGrid>
      <w:tr w:rsidR="007A6FE2" w:rsidTr="007A6FE2">
        <w:tc>
          <w:tcPr>
            <w:tcW w:w="738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Nr</w:t>
            </w:r>
          </w:p>
        </w:tc>
        <w:tc>
          <w:tcPr>
            <w:tcW w:w="5646" w:type="dxa"/>
          </w:tcPr>
          <w:p w:rsidR="007A6FE2" w:rsidRPr="00404602" w:rsidRDefault="0040460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Criteri</w:t>
            </w:r>
            <w:r w:rsidR="007A6FE2"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ul</w:t>
            </w:r>
            <w:proofErr w:type="spellEnd"/>
          </w:p>
        </w:tc>
        <w:tc>
          <w:tcPr>
            <w:tcW w:w="3192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Numărul</w:t>
            </w:r>
            <w:proofErr w:type="spellEnd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de </w:t>
            </w:r>
            <w:proofErr w:type="spellStart"/>
            <w:r w:rsidRPr="00404602">
              <w:rPr>
                <w:rFonts w:ascii="Times New Roman" w:hAnsi="Times New Roman" w:cs="Times New Roman"/>
                <w:b/>
                <w:sz w:val="28"/>
                <w:szCs w:val="28"/>
              </w:rPr>
              <w:t>puncte</w:t>
            </w:r>
            <w:proofErr w:type="spellEnd"/>
          </w:p>
        </w:tc>
      </w:tr>
      <w:tr w:rsidR="007A6FE2" w:rsidTr="007A6FE2">
        <w:tc>
          <w:tcPr>
            <w:tcW w:w="738" w:type="dxa"/>
          </w:tcPr>
          <w:p w:rsidR="007A6FE2" w:rsidRPr="00404602" w:rsidRDefault="007A6FE2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46" w:type="dxa"/>
          </w:tcPr>
          <w:p w:rsidR="0061493A" w:rsidRDefault="00B3496B" w:rsidP="0061493A">
            <w:pPr>
              <w:pStyle w:val="List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Salubri</w:t>
            </w:r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zarea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curs</w:t>
            </w:r>
            <w:r w:rsidR="0061493A" w:rsidRPr="0061493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stare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generală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salubrizare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localității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FE2" w:rsidRPr="0061493A" w:rsidRDefault="0061493A" w:rsidP="0061493A">
            <w:pPr>
              <w:pStyle w:val="Listparagraf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olectarea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evacuarea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or</w:t>
            </w:r>
            <w:r w:rsidR="0012443D">
              <w:rPr>
                <w:rFonts w:ascii="Times New Roman" w:hAnsi="Times New Roman" w:cs="Times New Roman"/>
                <w:sz w:val="28"/>
                <w:szCs w:val="28"/>
              </w:rPr>
              <w:t>ganizată</w:t>
            </w:r>
            <w:proofErr w:type="spellEnd"/>
            <w:r w:rsidR="0012443D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12443D">
              <w:rPr>
                <w:rFonts w:ascii="Times New Roman" w:hAnsi="Times New Roman" w:cs="Times New Roman"/>
                <w:sz w:val="28"/>
                <w:szCs w:val="28"/>
              </w:rPr>
              <w:t>deșeurilor</w:t>
            </w:r>
            <w:proofErr w:type="spellEnd"/>
            <w:r w:rsidR="001244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443D">
              <w:rPr>
                <w:rFonts w:ascii="Times New Roman" w:hAnsi="Times New Roman" w:cs="Times New Roman"/>
                <w:sz w:val="28"/>
                <w:szCs w:val="28"/>
              </w:rPr>
              <w:t>contracte</w:t>
            </w:r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le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înche</w:t>
            </w:r>
            <w:r w:rsidR="0012443D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ate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agenții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economici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61493A" w:rsidP="0061493A">
            <w:pPr>
              <w:pStyle w:val="Listparagr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4602"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46" w:type="dxa"/>
          </w:tcPr>
          <w:p w:rsidR="007A6FE2" w:rsidRPr="0061493A" w:rsidRDefault="0012443D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Spațiile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înverzite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starea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estetică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a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spațiilor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verzi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extinderea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renovarea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lor</w:t>
            </w:r>
            <w:proofErr w:type="spellEnd"/>
            <w:r w:rsidR="00B3496B"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0- 10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46" w:type="dxa"/>
          </w:tcPr>
          <w:p w:rsidR="007A6FE2" w:rsidRPr="0061493A" w:rsidRDefault="00404602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Mijloacele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financiare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investite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anul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curs de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către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gospodari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agenți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economici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în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domeniul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protecției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mediului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amenajării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teritoriului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conservării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ocrotirii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monumentelor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fac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parte din patrimonial cultural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n</w:t>
            </w:r>
            <w:r w:rsidR="0012443D">
              <w:rPr>
                <w:rFonts w:ascii="Times New Roman" w:hAnsi="Times New Roman" w:cs="Times New Roman"/>
                <w:sz w:val="28"/>
                <w:szCs w:val="28"/>
              </w:rPr>
              <w:t xml:space="preserve">atural al </w:t>
            </w:r>
            <w:proofErr w:type="spellStart"/>
            <w:r w:rsidR="0012443D">
              <w:rPr>
                <w:rFonts w:ascii="Times New Roman" w:hAnsi="Times New Roman" w:cs="Times New Roman"/>
                <w:sz w:val="28"/>
                <w:szCs w:val="28"/>
              </w:rPr>
              <w:t>localității</w:t>
            </w:r>
            <w:proofErr w:type="spellEnd"/>
            <w:r w:rsidR="001244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2443D">
              <w:rPr>
                <w:rFonts w:ascii="Times New Roman" w:hAnsi="Times New Roman" w:cs="Times New Roman"/>
                <w:sz w:val="28"/>
                <w:szCs w:val="28"/>
              </w:rPr>
              <w:t>moderniză</w:t>
            </w:r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renovării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restaurării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amenajării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reginilor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vă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aparțin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  <w:tr w:rsidR="007A6FE2" w:rsidTr="007A6FE2">
        <w:tc>
          <w:tcPr>
            <w:tcW w:w="738" w:type="dxa"/>
          </w:tcPr>
          <w:p w:rsidR="007A6FE2" w:rsidRPr="00404602" w:rsidRDefault="00B3496B" w:rsidP="005617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46" w:type="dxa"/>
          </w:tcPr>
          <w:p w:rsidR="0061493A" w:rsidRPr="0061493A" w:rsidRDefault="0061493A" w:rsidP="00614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proofErr w:type="spellStart"/>
            <w:r w:rsidR="00404602" w:rsidRPr="0061493A"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 w:rsidR="00404602"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 ge</w:t>
            </w:r>
            <w:r w:rsidRPr="0061493A">
              <w:rPr>
                <w:rFonts w:ascii="Times New Roman" w:hAnsi="Times New Roman" w:cs="Times New Roman"/>
                <w:sz w:val="28"/>
                <w:szCs w:val="28"/>
              </w:rPr>
              <w:t xml:space="preserve">neral al </w:t>
            </w:r>
            <w:proofErr w:type="spellStart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Pr="0061493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amenajarea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starea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și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străzilor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1493A" w:rsidRDefault="0061493A" w:rsidP="0061493A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aspectul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din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jurul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gospodăriei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A6FE2" w:rsidRPr="0012443D" w:rsidRDefault="0012443D" w:rsidP="0012443D">
            <w:pPr>
              <w:pStyle w:val="Listparagraf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lucrăr</w:t>
            </w:r>
            <w:r w:rsidR="0061493A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End"/>
            <w:proofErr w:type="gram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efectuate</w:t>
            </w:r>
            <w:proofErr w:type="spellEnd"/>
            <w:r w:rsidR="00614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1493A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>îmbunătățirea</w:t>
            </w:r>
            <w:proofErr w:type="spellEnd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>renovarea</w:t>
            </w:r>
            <w:proofErr w:type="spellEnd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proofErr w:type="spellStart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>apectului</w:t>
            </w:r>
            <w:proofErr w:type="spellEnd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>regiunii</w:t>
            </w:r>
            <w:proofErr w:type="spellEnd"/>
            <w:r w:rsidR="00404602" w:rsidRPr="0012443D">
              <w:rPr>
                <w:rFonts w:ascii="Times New Roman" w:hAnsi="Times New Roman" w:cs="Times New Roman"/>
                <w:sz w:val="28"/>
                <w:szCs w:val="28"/>
              </w:rPr>
              <w:t xml:space="preserve"> respective.</w:t>
            </w:r>
          </w:p>
        </w:tc>
        <w:tc>
          <w:tcPr>
            <w:tcW w:w="3192" w:type="dxa"/>
          </w:tcPr>
          <w:p w:rsidR="007A6FE2" w:rsidRPr="00404602" w:rsidRDefault="00404602" w:rsidP="006149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60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</w:tr>
    </w:tbl>
    <w:p w:rsidR="007A6FE2" w:rsidRDefault="007A6FE2" w:rsidP="005617C6"/>
    <w:p w:rsidR="00C66D7F" w:rsidRDefault="00C66D7F" w:rsidP="005617C6"/>
    <w:sectPr w:rsidR="00C66D7F" w:rsidSect="000079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05341"/>
    <w:multiLevelType w:val="hybridMultilevel"/>
    <w:tmpl w:val="7270A176"/>
    <w:lvl w:ilvl="0" w:tplc="93E8D59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55E34"/>
    <w:multiLevelType w:val="hybridMultilevel"/>
    <w:tmpl w:val="83E0C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DC36C7"/>
    <w:multiLevelType w:val="hybridMultilevel"/>
    <w:tmpl w:val="532C3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604D3"/>
    <w:multiLevelType w:val="hybridMultilevel"/>
    <w:tmpl w:val="C6264A34"/>
    <w:lvl w:ilvl="0" w:tplc="93F6DE1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05B18"/>
    <w:multiLevelType w:val="hybridMultilevel"/>
    <w:tmpl w:val="E13C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E3E78"/>
    <w:multiLevelType w:val="hybridMultilevel"/>
    <w:tmpl w:val="F092C060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3B96317C"/>
    <w:multiLevelType w:val="hybridMultilevel"/>
    <w:tmpl w:val="362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7C36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8">
    <w:nsid w:val="58712438"/>
    <w:multiLevelType w:val="hybridMultilevel"/>
    <w:tmpl w:val="1B5031FA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D12344E"/>
    <w:multiLevelType w:val="hybridMultilevel"/>
    <w:tmpl w:val="5980FC3A"/>
    <w:lvl w:ilvl="0" w:tplc="821E51C4">
      <w:numFmt w:val="decimal"/>
      <w:lvlText w:val="%1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0">
    <w:nsid w:val="6CFC5803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1">
    <w:nsid w:val="777A609A"/>
    <w:multiLevelType w:val="multilevel"/>
    <w:tmpl w:val="6EAAD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810" w:hanging="450"/>
      </w:pPr>
      <w:rPr>
        <w:rFonts w:ascii="Arial" w:hAnsi="Arial" w:cs="Aria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Arial" w:hAnsi="Arial" w:cs="Arial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Arial" w:hAnsi="Arial" w:cs="Arial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Arial" w:hAnsi="Arial" w:cs="Arial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" w:hAnsi="Arial" w:cs="Arial" w:hint="default"/>
        <w:sz w:val="24"/>
      </w:rPr>
    </w:lvl>
  </w:abstractNum>
  <w:abstractNum w:abstractNumId="12">
    <w:nsid w:val="7A60039D"/>
    <w:multiLevelType w:val="hybridMultilevel"/>
    <w:tmpl w:val="E5FECD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FE2D27"/>
    <w:multiLevelType w:val="hybridMultilevel"/>
    <w:tmpl w:val="C848211E"/>
    <w:lvl w:ilvl="0" w:tplc="0418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1"/>
  </w:num>
  <w:num w:numId="4">
    <w:abstractNumId w:val="13"/>
  </w:num>
  <w:num w:numId="5">
    <w:abstractNumId w:val="5"/>
  </w:num>
  <w:num w:numId="6">
    <w:abstractNumId w:val="8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2138"/>
    <w:rsid w:val="00007999"/>
    <w:rsid w:val="0012443D"/>
    <w:rsid w:val="0021409A"/>
    <w:rsid w:val="00241C44"/>
    <w:rsid w:val="002B2867"/>
    <w:rsid w:val="0033307B"/>
    <w:rsid w:val="00404602"/>
    <w:rsid w:val="005617C6"/>
    <w:rsid w:val="0059770C"/>
    <w:rsid w:val="0061493A"/>
    <w:rsid w:val="00705CAC"/>
    <w:rsid w:val="007A6FE2"/>
    <w:rsid w:val="00896F6D"/>
    <w:rsid w:val="008C14F4"/>
    <w:rsid w:val="00A22D2F"/>
    <w:rsid w:val="00A2510C"/>
    <w:rsid w:val="00AA2138"/>
    <w:rsid w:val="00B3496B"/>
    <w:rsid w:val="00B47E72"/>
    <w:rsid w:val="00B73093"/>
    <w:rsid w:val="00B81C0B"/>
    <w:rsid w:val="00BC16F8"/>
    <w:rsid w:val="00C66D7F"/>
    <w:rsid w:val="00D84F55"/>
    <w:rsid w:val="00E42D5B"/>
    <w:rsid w:val="00F13216"/>
    <w:rsid w:val="00F87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99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3307B"/>
    <w:pPr>
      <w:ind w:left="720"/>
      <w:contextualSpacing/>
    </w:pPr>
  </w:style>
  <w:style w:type="table" w:styleId="GrilTabel">
    <w:name w:val="Table Grid"/>
    <w:basedOn w:val="TabelNormal"/>
    <w:uiPriority w:val="59"/>
    <w:rsid w:val="007A6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C66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39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Admin</cp:lastModifiedBy>
  <cp:revision>8</cp:revision>
  <dcterms:created xsi:type="dcterms:W3CDTF">2016-03-21T19:09:00Z</dcterms:created>
  <dcterms:modified xsi:type="dcterms:W3CDTF">2016-03-21T19:22:00Z</dcterms:modified>
</cp:coreProperties>
</file>